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jc w:val="center"/>
        <w:rPr>
          <w:rFonts w:ascii="Source Sans Pro" w:hAnsi="Source Sans Pro"/>
          <w:b/>
          <w:bCs/>
          <w:sz w:val="36"/>
          <w:szCs w:val="36"/>
        </w:rPr>
      </w:pPr>
      <w:r>
        <w:rPr>
          <w:rFonts w:ascii="Source Sans Pro" w:hAnsi="Source Sans Pro"/>
          <w:b/>
          <w:bCs/>
          <w:sz w:val="36"/>
          <w:szCs w:val="36"/>
        </w:rPr>
      </w:r>
    </w:p>
    <w:p>
      <w:pPr>
        <w:pStyle w:val="BodyText"/>
        <w:jc w:val="center"/>
        <w:rPr>
          <w:rFonts w:ascii="Source Sans Pro" w:hAnsi="Source Sans Pro"/>
          <w:b/>
          <w:bCs/>
          <w:sz w:val="36"/>
          <w:szCs w:val="36"/>
        </w:rPr>
      </w:pPr>
      <w:r>
        <w:rPr>
          <w:rFonts w:ascii="Source Sans Pro" w:hAnsi="Source Sans Pro"/>
          <w:b/>
          <w:bCs/>
          <w:sz w:val="36"/>
          <w:szCs w:val="36"/>
        </w:rPr>
      </w:r>
    </w:p>
    <w:p>
      <w:pPr>
        <w:pStyle w:val="BodyText"/>
        <w:jc w:val="center"/>
        <w:rPr>
          <w:rFonts w:ascii="Source Sans Pro" w:hAnsi="Source Sans Pro"/>
          <w:b/>
          <w:bCs/>
          <w:sz w:val="36"/>
          <w:szCs w:val="36"/>
        </w:rPr>
      </w:pPr>
      <w:r>
        <w:rPr>
          <w:rFonts w:ascii="Source Sans Pro" w:hAnsi="Source Sans Pro"/>
          <w:b/>
          <w:bCs/>
          <w:sz w:val="36"/>
          <w:szCs w:val="36"/>
        </w:rPr>
      </w:r>
    </w:p>
    <w:p>
      <w:pPr>
        <w:pStyle w:val="BodyText"/>
        <w:jc w:val="center"/>
        <w:rPr>
          <w:rFonts w:ascii="Source Sans Pro" w:hAnsi="Source Sans Pro"/>
          <w:b/>
          <w:bCs/>
          <w:sz w:val="36"/>
          <w:szCs w:val="36"/>
        </w:rPr>
      </w:pPr>
      <w:r>
        <w:rPr>
          <w:rFonts w:ascii="Source Sans Pro" w:hAnsi="Source Sans Pro"/>
          <w:b/>
          <w:bCs/>
          <w:sz w:val="36"/>
          <w:szCs w:val="36"/>
        </w:rPr>
        <w:t>Silnoproud, slaboproud, ERO</w:t>
      </w:r>
    </w:p>
    <w:p>
      <w:pPr>
        <w:pStyle w:val="BodyText"/>
        <w:jc w:val="center"/>
        <w:rPr>
          <w:rFonts w:ascii="Source Sans Pro" w:hAnsi="Source Sans Pro"/>
        </w:rPr>
      </w:pPr>
      <w:r>
        <w:rPr>
          <w:rFonts w:ascii="Source Sans Pro" w:hAnsi="Source Sans Pro"/>
        </w:rPr>
      </w:r>
    </w:p>
    <w:p>
      <w:pPr>
        <w:pStyle w:val="BodyText"/>
        <w:jc w:val="center"/>
        <w:rPr>
          <w:rFonts w:ascii="Source Sans Pro" w:hAnsi="Source Sans Pro"/>
        </w:rPr>
      </w:pPr>
      <w:r>
        <w:rPr>
          <w:rFonts w:ascii="Source Sans Pro" w:hAnsi="Source Sans Pro"/>
        </w:rPr>
      </w:r>
    </w:p>
    <w:p>
      <w:pPr>
        <w:pStyle w:val="BodyText"/>
        <w:jc w:val="center"/>
        <w:rPr>
          <w:rFonts w:ascii="Source Sans Pro" w:hAnsi="Source Sans Pro"/>
        </w:rPr>
      </w:pPr>
      <w:r>
        <w:rPr>
          <w:rFonts w:ascii="Source Sans Pro" w:hAnsi="Source Sans Pro"/>
        </w:rPr>
      </w:r>
    </w:p>
    <w:p>
      <w:pPr>
        <w:pStyle w:val="BodyText"/>
        <w:jc w:val="center"/>
        <w:rPr>
          <w:rFonts w:ascii="Source Sans Pro" w:hAnsi="Source Sans Pro"/>
        </w:rPr>
      </w:pPr>
      <w:r>
        <w:rPr>
          <w:rFonts w:ascii="Source Sans Pro" w:hAnsi="Source Sans Pro"/>
        </w:rPr>
      </w:r>
    </w:p>
    <w:p>
      <w:pPr>
        <w:pStyle w:val="BodyText"/>
        <w:jc w:val="center"/>
        <w:rPr>
          <w:rFonts w:ascii="Source Sans Pro" w:hAnsi="Source Sans Pro"/>
        </w:rPr>
      </w:pPr>
      <w:r>
        <w:rPr>
          <w:rFonts w:ascii="Source Sans Pro" w:hAnsi="Source Sans Pro"/>
        </w:rPr>
      </w:r>
    </w:p>
    <w:p>
      <w:pPr>
        <w:pStyle w:val="BodyText"/>
        <w:jc w:val="center"/>
        <w:rPr>
          <w:rFonts w:ascii="Source Sans Pro" w:hAnsi="Source Sans Pro"/>
        </w:rPr>
      </w:pPr>
      <w:r>
        <w:rPr>
          <w:rFonts w:ascii="Source Sans Pro" w:hAnsi="Source Sans Pro"/>
        </w:rPr>
      </w:r>
    </w:p>
    <w:p>
      <w:pPr>
        <w:pStyle w:val="BodyText"/>
        <w:jc w:val="center"/>
        <w:rPr>
          <w:rFonts w:ascii="Source Sans Pro" w:hAnsi="Source Sans Pro"/>
        </w:rPr>
      </w:pPr>
      <w:r>
        <w:rPr>
          <w:rFonts w:ascii="Source Sans Pro" w:hAnsi="Source Sans Pro"/>
        </w:rPr>
      </w:r>
    </w:p>
    <w:p>
      <w:pPr>
        <w:pStyle w:val="BodyText"/>
        <w:jc w:val="center"/>
        <w:rPr>
          <w:rFonts w:ascii="Source Sans Pro" w:hAnsi="Source Sans Pro"/>
        </w:rPr>
      </w:pPr>
      <w:r>
        <w:rPr>
          <w:rFonts w:ascii="Source Sans Pro" w:hAnsi="Source Sans Pro"/>
        </w:rPr>
      </w:r>
    </w:p>
    <w:p>
      <w:pPr>
        <w:pStyle w:val="BodyText"/>
        <w:jc w:val="center"/>
        <w:rPr>
          <w:rFonts w:ascii="Source Sans Pro" w:hAnsi="Source Sans Pro"/>
        </w:rPr>
      </w:pPr>
      <w:r>
        <w:rPr>
          <w:rFonts w:ascii="Source Sans Pro" w:hAnsi="Source Sans Pro"/>
        </w:rPr>
      </w:r>
    </w:p>
    <w:p>
      <w:pPr>
        <w:pStyle w:val="BodyText"/>
        <w:jc w:val="center"/>
        <w:rPr>
          <w:rFonts w:ascii="Source Sans Pro" w:hAnsi="Source Sans Pro"/>
        </w:rPr>
      </w:pPr>
      <w:r>
        <w:rPr>
          <w:rFonts w:ascii="Source Sans Pro" w:hAnsi="Source Sans Pro"/>
        </w:rPr>
      </w:r>
    </w:p>
    <w:p>
      <w:pPr>
        <w:pStyle w:val="BodyText"/>
        <w:jc w:val="center"/>
        <w:rPr>
          <w:rFonts w:ascii="Source Sans Pro" w:hAnsi="Source Sans Pro"/>
        </w:rPr>
      </w:pPr>
      <w:r>
        <w:rPr>
          <w:rFonts w:ascii="Source Sans Pro" w:hAnsi="Source Sans Pro"/>
        </w:rPr>
      </w:r>
    </w:p>
    <w:p>
      <w:pPr>
        <w:pStyle w:val="BodyText"/>
        <w:jc w:val="center"/>
        <w:rPr>
          <w:rFonts w:ascii="Source Sans Pro" w:hAnsi="Source Sans Pro"/>
        </w:rPr>
      </w:pPr>
      <w:r>
        <w:rPr>
          <w:rFonts w:ascii="Source Sans Pro" w:hAnsi="Source Sans Pro"/>
        </w:rPr>
      </w:r>
    </w:p>
    <w:p>
      <w:pPr>
        <w:pStyle w:val="BodyText"/>
        <w:jc w:val="right"/>
        <w:rPr>
          <w:rFonts w:ascii="Source Sans Pro" w:hAnsi="Source Sans Pro"/>
          <w:sz w:val="20"/>
          <w:szCs w:val="20"/>
          <w:u w:val="single"/>
        </w:rPr>
      </w:pPr>
      <w:r>
        <w:rPr>
          <w:rFonts w:ascii="Source Sans Pro" w:hAnsi="Source Sans Pro"/>
          <w:sz w:val="20"/>
          <w:szCs w:val="20"/>
          <w:u w:val="single"/>
        </w:rPr>
        <w:t>Akce</w:t>
      </w:r>
      <w:r>
        <w:rPr>
          <w:rFonts w:ascii="Source Sans Pro" w:hAnsi="Source Sans Pro"/>
          <w:sz w:val="20"/>
          <w:szCs w:val="20"/>
          <w:u w:val="single"/>
        </w:rPr>
        <w:t>:</w:t>
      </w:r>
    </w:p>
    <w:p>
      <w:pPr>
        <w:pStyle w:val="BodyText"/>
        <w:jc w:val="right"/>
        <w:rPr>
          <w:rFonts w:ascii="Source Sans Pro" w:hAnsi="Source Sans Pro"/>
          <w:sz w:val="20"/>
          <w:szCs w:val="20"/>
          <w:u w:val="none"/>
        </w:rPr>
      </w:pPr>
      <w:r>
        <w:rPr>
          <w:rFonts w:ascii="Source Sans Pro" w:hAnsi="Source Sans Pro"/>
          <w:sz w:val="20"/>
          <w:szCs w:val="20"/>
          <w:u w:val="none"/>
        </w:rPr>
        <w:t>Výstavba nového objektu učeben v areálu ZŠ školní náměstí</w:t>
      </w:r>
    </w:p>
    <w:p>
      <w:pPr>
        <w:pStyle w:val="BodyText"/>
        <w:jc w:val="right"/>
        <w:rPr>
          <w:rFonts w:ascii="Source Sans Pro" w:hAnsi="Source Sans Pro"/>
          <w:sz w:val="20"/>
          <w:szCs w:val="20"/>
          <w:u w:val="single"/>
        </w:rPr>
      </w:pPr>
      <w:r>
        <w:rPr>
          <w:rFonts w:ascii="Source Sans Pro" w:hAnsi="Source Sans Pro"/>
          <w:sz w:val="20"/>
          <w:szCs w:val="20"/>
          <w:u w:val="single"/>
        </w:rPr>
        <w:t xml:space="preserve">Projektant </w:t>
      </w:r>
      <w:r>
        <w:rPr>
          <w:rFonts w:ascii="Source Sans Pro" w:hAnsi="Source Sans Pro"/>
          <w:sz w:val="20"/>
          <w:szCs w:val="20"/>
          <w:u w:val="single"/>
        </w:rPr>
        <w:t>části</w:t>
      </w:r>
      <w:r>
        <w:rPr>
          <w:rFonts w:ascii="Source Sans Pro" w:hAnsi="Source Sans Pro"/>
          <w:sz w:val="20"/>
          <w:szCs w:val="20"/>
          <w:u w:val="single"/>
        </w:rPr>
        <w:t>:</w:t>
      </w:r>
    </w:p>
    <w:p>
      <w:pPr>
        <w:pStyle w:val="BodyText"/>
        <w:jc w:val="right"/>
        <w:rPr>
          <w:rFonts w:ascii="Source Sans Pro" w:hAnsi="Source Sans Pro"/>
          <w:sz w:val="20"/>
          <w:szCs w:val="20"/>
        </w:rPr>
      </w:pPr>
      <w:r>
        <w:rPr>
          <w:rFonts w:ascii="Source Sans Pro" w:hAnsi="Source Sans Pro"/>
          <w:sz w:val="20"/>
          <w:szCs w:val="20"/>
        </w:rPr>
        <w:t>Ing. Vendula Krajinová, DiS.</w:t>
        <w:br/>
      </w:r>
      <w:r>
        <w:rPr>
          <w:rFonts w:ascii="Source Sans Pro" w:hAnsi="Source Sans Pro"/>
          <w:sz w:val="20"/>
          <w:szCs w:val="20"/>
        </w:rPr>
        <w:t>Zdibská 213/20</w:t>
      </w:r>
      <w:r>
        <w:rPr>
          <w:rFonts w:ascii="Source Sans Pro" w:hAnsi="Source Sans Pro"/>
          <w:sz w:val="20"/>
          <w:szCs w:val="20"/>
        </w:rPr>
        <w:br/>
      </w:r>
      <w:r>
        <w:rPr>
          <w:rFonts w:ascii="Source Sans Pro" w:hAnsi="Source Sans Pro"/>
          <w:sz w:val="20"/>
          <w:szCs w:val="20"/>
        </w:rPr>
        <w:t>182 00 Praha 8 - Kobylisy</w:t>
      </w:r>
    </w:p>
    <w:p>
      <w:pPr>
        <w:pStyle w:val="BodyText"/>
        <w:jc w:val="right"/>
        <w:rPr>
          <w:rFonts w:ascii="Source Sans Pro" w:hAnsi="Source Sans Pro"/>
          <w:sz w:val="20"/>
          <w:szCs w:val="20"/>
          <w:u w:val="single"/>
        </w:rPr>
      </w:pPr>
      <w:r>
        <w:rPr>
          <w:rFonts w:ascii="Source Sans Pro" w:hAnsi="Source Sans Pro"/>
          <w:sz w:val="20"/>
          <w:szCs w:val="20"/>
          <w:u w:val="single"/>
        </w:rPr>
        <w:t>Investor:</w:t>
      </w:r>
    </w:p>
    <w:p>
      <w:pPr>
        <w:pStyle w:val="BodyText"/>
        <w:jc w:val="right"/>
        <w:rPr>
          <w:rFonts w:ascii="Source Sans Pro" w:hAnsi="Source Sans Pro"/>
          <w:sz w:val="20"/>
          <w:szCs w:val="20"/>
        </w:rPr>
      </w:pPr>
      <w:r>
        <w:rPr>
          <w:rFonts w:ascii="Source Sans Pro" w:hAnsi="Source Sans Pro"/>
          <w:sz w:val="20"/>
          <w:szCs w:val="20"/>
        </w:rPr>
        <w:t>Statutární město Ústí nad Labem</w:t>
        <w:br/>
        <w:t>Velká hradební 2336/8, 401 00 Ústí nad Labem</w:t>
      </w:r>
    </w:p>
    <w:p>
      <w:pPr>
        <w:pStyle w:val="BodyText"/>
        <w:jc w:val="right"/>
        <w:rPr>
          <w:rFonts w:ascii="Source Sans Pro" w:hAnsi="Source Sans Pro"/>
          <w:sz w:val="20"/>
          <w:szCs w:val="20"/>
          <w:u w:val="single"/>
        </w:rPr>
      </w:pPr>
      <w:r>
        <w:rPr>
          <w:rFonts w:ascii="Source Sans Pro" w:hAnsi="Source Sans Pro"/>
          <w:sz w:val="20"/>
          <w:szCs w:val="20"/>
          <w:u w:val="single"/>
        </w:rPr>
        <w:t>Stupeň:</w:t>
      </w:r>
    </w:p>
    <w:p>
      <w:pPr>
        <w:pStyle w:val="BodyText"/>
        <w:jc w:val="right"/>
        <w:rPr>
          <w:rFonts w:ascii="Source Sans Pro" w:hAnsi="Source Sans Pro"/>
          <w:sz w:val="20"/>
          <w:szCs w:val="20"/>
        </w:rPr>
      </w:pPr>
      <w:r>
        <w:rPr>
          <w:rFonts w:ascii="Source Sans Pro" w:hAnsi="Source Sans Pro"/>
          <w:sz w:val="20"/>
          <w:szCs w:val="20"/>
        </w:rPr>
        <w:t xml:space="preserve">Dokumentace pro </w:t>
      </w:r>
      <w:r>
        <w:rPr>
          <w:rFonts w:ascii="Source Sans Pro" w:hAnsi="Source Sans Pro"/>
          <w:sz w:val="20"/>
          <w:szCs w:val="20"/>
        </w:rPr>
        <w:t>provedení stavby</w:t>
      </w:r>
    </w:p>
    <w:p>
      <w:pPr>
        <w:pStyle w:val="BodyText"/>
        <w:jc w:val="right"/>
        <w:rPr>
          <w:rFonts w:ascii="Source Sans Pro" w:hAnsi="Source Sans Pro"/>
          <w:sz w:val="20"/>
          <w:szCs w:val="20"/>
          <w:u w:val="single"/>
        </w:rPr>
      </w:pPr>
      <w:r>
        <w:rPr>
          <w:rFonts w:ascii="Source Sans Pro" w:hAnsi="Source Sans Pro"/>
          <w:sz w:val="20"/>
          <w:szCs w:val="20"/>
          <w:u w:val="single"/>
        </w:rPr>
        <w:t>Datum:</w:t>
      </w:r>
    </w:p>
    <w:p>
      <w:pPr>
        <w:pStyle w:val="BodyText"/>
        <w:jc w:val="right"/>
        <w:rPr>
          <w:rFonts w:ascii="Source Sans Pro" w:hAnsi="Source Sans Pro"/>
          <w:sz w:val="20"/>
          <w:szCs w:val="20"/>
        </w:rPr>
      </w:pPr>
      <w:r>
        <w:rPr>
          <w:rFonts w:ascii="Source Sans Pro" w:hAnsi="Source Sans Pro"/>
          <w:sz w:val="20"/>
          <w:szCs w:val="20"/>
        </w:rPr>
        <w:t>9/202</w:t>
      </w:r>
      <w:r>
        <w:rPr>
          <w:rFonts w:ascii="Source Sans Pro" w:hAnsi="Source Sans Pro"/>
          <w:sz w:val="20"/>
          <w:szCs w:val="20"/>
        </w:rPr>
        <w:t>5</w:t>
      </w:r>
      <w:r>
        <w:br w:type="page"/>
      </w:r>
    </w:p>
    <w:p>
      <w:pPr>
        <w:pStyle w:val="normal1"/>
        <w:rPr>
          <w:b/>
        </w:rPr>
      </w:pPr>
      <w:r>
        <w:rPr>
          <w:b/>
        </w:rPr>
        <w:t>POPIS K NÁVRHU – ZAHRADNÍ ÚPRAVY</w:t>
      </w:r>
    </w:p>
    <w:p>
      <w:pPr>
        <w:pStyle w:val="normal1"/>
        <w:rPr>
          <w:b/>
        </w:rPr>
      </w:pPr>
      <w:r>
        <w:rPr>
          <w:b/>
        </w:rPr>
      </w:r>
    </w:p>
    <w:p>
      <w:pPr>
        <w:pStyle w:val="normal1"/>
        <w:pBdr>
          <w:bottom w:val="single" w:sz="4" w:space="1" w:color="000000"/>
        </w:pBdr>
        <w:rPr>
          <w:b/>
        </w:rPr>
      </w:pPr>
      <w:r>
        <w:rPr>
          <w:b/>
        </w:rPr>
        <w:t>Venkovní učebna na střeše</w:t>
      </w:r>
    </w:p>
    <w:p>
      <w:pPr>
        <w:pStyle w:val="normal1"/>
        <w:spacing w:lineRule="auto" w:line="240" w:before="0" w:after="0"/>
        <w:ind w:firstLine="708"/>
        <w:jc w:val="both"/>
        <w:rPr/>
      </w:pPr>
      <w:r>
        <w:rPr/>
        <w:t xml:space="preserve">Děti si využitím venkovní učebny na střeše školy mohou zpříjemnit pobyt ve škole. Přeměna na </w:t>
      </w:r>
    </w:p>
    <w:p>
      <w:pPr>
        <w:pStyle w:val="normal1"/>
        <w:spacing w:lineRule="auto" w:line="240" w:before="0" w:after="0"/>
        <w:jc w:val="both"/>
        <w:rPr/>
      </w:pPr>
      <w:r>
        <w:rPr/>
        <w:t xml:space="preserve">venkovní prostor školky bude provedena tak, aby maximálně sloužila k environmentálnímu vzdělávání, výchově a osvětě, tím se bude podporovat pravidelný pobyt dětí v přírodním prostředí.  </w:t>
      </w:r>
    </w:p>
    <w:p>
      <w:pPr>
        <w:pStyle w:val="normal1"/>
        <w:ind w:firstLine="708"/>
        <w:jc w:val="both"/>
        <w:rPr/>
      </w:pPr>
      <w:r>
        <w:rPr/>
      </w:r>
    </w:p>
    <w:p>
      <w:pPr>
        <w:pStyle w:val="normal1"/>
        <w:ind w:firstLine="708"/>
        <w:jc w:val="both"/>
        <w:rPr/>
      </w:pPr>
      <w:r>
        <w:rPr/>
        <w:t xml:space="preserve">Na konstrukcích s ocelovými lanky jsou navrženy popínavé rostliny. Vzdálenost mezi popínavými rostlinami při výsadbě 0,8m. </w:t>
      </w:r>
    </w:p>
    <w:p>
      <w:pPr>
        <w:pStyle w:val="normal1"/>
        <w:jc w:val="both"/>
        <w:rPr>
          <w:b/>
        </w:rPr>
      </w:pPr>
      <w:r>
        <w:rPr>
          <w:b/>
        </w:rPr>
      </w:r>
    </w:p>
    <w:p>
      <w:pPr>
        <w:pStyle w:val="normal1"/>
        <w:jc w:val="both"/>
        <w:rPr/>
      </w:pPr>
      <w:r>
        <w:rPr>
          <w:b/>
        </w:rPr>
        <w:t>Druh popínavých rostlin</w:t>
      </w:r>
      <w:r>
        <w:rPr/>
        <w:t xml:space="preserve">: Wisteria floribunda – Wistarie květnatá, Akebia quinata – akébie pětičetná. </w:t>
      </w:r>
    </w:p>
    <w:p>
      <w:pPr>
        <w:pStyle w:val="normal1"/>
        <w:ind w:firstLine="708"/>
        <w:jc w:val="both"/>
        <w:rPr/>
      </w:pPr>
      <w:r>
        <w:rPr/>
        <w:t xml:space="preserve">V mobilních nádobách na střeše je navržena směs trvalek a travin. Součástí je kapková závlaha. </w:t>
      </w:r>
    </w:p>
    <w:p>
      <w:pPr>
        <w:pStyle w:val="normal1"/>
        <w:ind w:firstLine="708"/>
        <w:jc w:val="both"/>
        <w:rPr/>
      </w:pPr>
      <w:r>
        <w:rPr/>
        <w:t xml:space="preserve">Plocha k osázení jedné mobilní nádoby trvalkami a travinami je 11m x  0,5m, což je pro oba záhony 11m2. </w:t>
      </w:r>
      <w:r>
        <w:rPr>
          <w:b/>
        </w:rPr>
        <w:t>Počet rostlin k osázení 90 trvalek a travin</w:t>
      </w:r>
      <w:r>
        <w:rPr/>
        <w:t xml:space="preserve">. Plocha k zamulčování mulčovací kůrou 11m2. </w:t>
      </w:r>
    </w:p>
    <w:p>
      <w:pPr>
        <w:pStyle w:val="normal1"/>
        <w:jc w:val="both"/>
        <w:rPr/>
      </w:pPr>
      <w:r>
        <w:rPr/>
      </w:r>
    </w:p>
    <w:p>
      <w:pPr>
        <w:pStyle w:val="normal1"/>
        <w:jc w:val="both"/>
        <w:rPr>
          <w:b/>
        </w:rPr>
      </w:pPr>
      <w:r>
        <w:rPr>
          <w:b/>
        </w:rPr>
        <w:t xml:space="preserve">Návrh na výsadbu trvalek: </w:t>
      </w:r>
    </w:p>
    <w:p>
      <w:pPr>
        <w:pStyle w:val="normal1"/>
        <w:spacing w:lineRule="auto" w:line="240" w:before="0" w:after="0"/>
        <w:jc w:val="both"/>
        <w:rPr/>
      </w:pPr>
      <w:r>
        <w:rPr/>
        <w:t>Achillea 'Moonshine'</w:t>
      </w:r>
    </w:p>
    <w:p>
      <w:pPr>
        <w:pStyle w:val="normal1"/>
        <w:spacing w:lineRule="auto" w:line="240" w:before="0" w:after="0"/>
        <w:jc w:val="both"/>
        <w:rPr/>
      </w:pPr>
      <w:r>
        <w:rPr/>
        <w:t xml:space="preserve">Agastache 'Blue Fortune' (alt.: 'Black Adder')  </w:t>
      </w:r>
    </w:p>
    <w:p>
      <w:pPr>
        <w:pStyle w:val="normal1"/>
        <w:spacing w:lineRule="auto" w:line="240" w:before="0" w:after="0"/>
        <w:jc w:val="both"/>
        <w:rPr/>
      </w:pPr>
      <w:r>
        <w:rPr/>
        <w:t>Aster dumosus Terry's Pride'</w:t>
      </w:r>
    </w:p>
    <w:p>
      <w:pPr>
        <w:pStyle w:val="normal1"/>
        <w:spacing w:lineRule="auto" w:line="240" w:before="0" w:after="0"/>
        <w:jc w:val="both"/>
        <w:rPr/>
      </w:pPr>
      <w:r>
        <w:rPr/>
        <w:t>Aster lateriflorus 'Bleke Beť (alt.: 'Lady in Black')</w:t>
      </w:r>
    </w:p>
    <w:p>
      <w:pPr>
        <w:pStyle w:val="normal1"/>
        <w:spacing w:lineRule="auto" w:line="240" w:before="0" w:after="0"/>
        <w:jc w:val="both"/>
        <w:rPr/>
      </w:pPr>
      <w:r>
        <w:rPr/>
        <w:t>Echinacea angustifolia</w:t>
      </w:r>
    </w:p>
    <w:p>
      <w:pPr>
        <w:pStyle w:val="normal1"/>
        <w:spacing w:lineRule="auto" w:line="240" w:before="0" w:after="0"/>
        <w:jc w:val="both"/>
        <w:rPr/>
      </w:pPr>
      <w:r>
        <w:rPr/>
        <w:t>Gaura lindheimeri</w:t>
      </w:r>
    </w:p>
    <w:p>
      <w:pPr>
        <w:pStyle w:val="normal1"/>
        <w:spacing w:lineRule="auto" w:line="240" w:before="0" w:after="0"/>
        <w:jc w:val="both"/>
        <w:rPr/>
      </w:pPr>
      <w:r>
        <w:rPr/>
        <w:t>Geranium sanguineum</w:t>
      </w:r>
    </w:p>
    <w:p>
      <w:pPr>
        <w:pStyle w:val="normal1"/>
        <w:spacing w:lineRule="auto" w:line="240" w:before="0" w:after="0"/>
        <w:jc w:val="both"/>
        <w:rPr/>
      </w:pPr>
      <w:r>
        <w:rPr/>
        <w:t>Garanium x cantabrigiense ´Karamina´</w:t>
      </w:r>
    </w:p>
    <w:p>
      <w:pPr>
        <w:pStyle w:val="normal1"/>
        <w:spacing w:lineRule="auto" w:line="240" w:before="0" w:after="0"/>
        <w:jc w:val="both"/>
        <w:rPr/>
      </w:pPr>
      <w:r>
        <w:rPr/>
        <w:t xml:space="preserve">Lavandula angustifolia </w:t>
      </w:r>
    </w:p>
    <w:p>
      <w:pPr>
        <w:pStyle w:val="normal1"/>
        <w:spacing w:lineRule="auto" w:line="240" w:before="0" w:after="0"/>
        <w:jc w:val="both"/>
        <w:rPr/>
      </w:pPr>
      <w:r>
        <w:rPr/>
        <w:t xml:space="preserve">Origanum laevigatum </w:t>
      </w:r>
    </w:p>
    <w:p>
      <w:pPr>
        <w:pStyle w:val="normal1"/>
        <w:spacing w:lineRule="auto" w:line="240" w:before="0" w:after="0"/>
        <w:jc w:val="both"/>
        <w:rPr/>
      </w:pPr>
      <w:r>
        <w:rPr/>
        <w:t>Rudbeckia fulgida ´Goldsurm´</w:t>
      </w:r>
    </w:p>
    <w:p>
      <w:pPr>
        <w:pStyle w:val="normal1"/>
        <w:spacing w:lineRule="auto" w:line="240" w:before="0" w:after="0"/>
        <w:jc w:val="both"/>
        <w:rPr/>
      </w:pPr>
      <w:r>
        <w:rPr/>
        <w:t>Nepeta x fassenii</w:t>
      </w:r>
    </w:p>
    <w:p>
      <w:pPr>
        <w:pStyle w:val="normal1"/>
        <w:spacing w:lineRule="auto" w:line="240" w:before="0" w:after="0"/>
        <w:jc w:val="both"/>
        <w:rPr/>
      </w:pPr>
      <w:r>
        <w:rPr/>
        <w:t>Salvia nemorosa ´Caradona´</w:t>
      </w:r>
    </w:p>
    <w:p>
      <w:pPr>
        <w:pStyle w:val="normal1"/>
        <w:spacing w:lineRule="auto" w:line="240" w:before="0" w:after="0"/>
        <w:jc w:val="both"/>
        <w:rPr/>
      </w:pPr>
      <w:r>
        <w:rPr/>
        <w:t>Saturejka Montana</w:t>
      </w:r>
    </w:p>
    <w:p>
      <w:pPr>
        <w:pStyle w:val="normal1"/>
        <w:spacing w:lineRule="auto" w:line="240" w:before="0" w:after="0"/>
        <w:jc w:val="both"/>
        <w:rPr/>
      </w:pPr>
      <w:r>
        <w:rPr/>
        <w:t xml:space="preserve">Sedum telephinum </w:t>
      </w:r>
    </w:p>
    <w:p>
      <w:pPr>
        <w:pStyle w:val="normal1"/>
        <w:spacing w:lineRule="auto" w:line="240" w:before="0" w:after="0"/>
        <w:jc w:val="both"/>
        <w:rPr/>
      </w:pPr>
      <w:r>
        <w:rPr/>
        <w:t xml:space="preserve">Thymus vulgaris </w:t>
      </w:r>
    </w:p>
    <w:p>
      <w:pPr>
        <w:pStyle w:val="normal1"/>
        <w:spacing w:lineRule="auto" w:line="240" w:before="0" w:after="0"/>
        <w:jc w:val="both"/>
        <w:rPr/>
      </w:pPr>
      <w:r>
        <w:rPr/>
      </w:r>
    </w:p>
    <w:p>
      <w:pPr>
        <w:pStyle w:val="normal1"/>
        <w:spacing w:lineRule="auto" w:line="240" w:before="0" w:after="0"/>
        <w:jc w:val="both"/>
        <w:rPr>
          <w:b/>
        </w:rPr>
      </w:pPr>
      <w:r>
        <w:rPr>
          <w:b/>
        </w:rPr>
        <w:t xml:space="preserve">Okrasné traviny: </w:t>
      </w:r>
    </w:p>
    <w:p>
      <w:pPr>
        <w:pStyle w:val="normal1"/>
        <w:spacing w:lineRule="auto" w:line="240" w:before="0" w:after="0"/>
        <w:jc w:val="both"/>
        <w:rPr/>
      </w:pPr>
      <w:r>
        <w:rPr/>
        <w:t>Panicum virgatum ´Rotstrahlbusch´</w:t>
      </w:r>
    </w:p>
    <w:p>
      <w:pPr>
        <w:pStyle w:val="normal1"/>
        <w:spacing w:lineRule="auto" w:line="240" w:before="0" w:after="0"/>
        <w:jc w:val="both"/>
        <w:rPr/>
      </w:pPr>
      <w:r>
        <w:rPr/>
        <w:t xml:space="preserve">Pennisetum alopecuroides </w:t>
      </w:r>
    </w:p>
    <w:p>
      <w:pPr>
        <w:pStyle w:val="normal1"/>
        <w:jc w:val="both"/>
        <w:rPr/>
      </w:pPr>
      <w:r>
        <w:rPr/>
      </w:r>
    </w:p>
    <w:p>
      <w:pPr>
        <w:pStyle w:val="normal1"/>
        <w:pBdr>
          <w:bottom w:val="single" w:sz="4" w:space="1" w:color="000000"/>
        </w:pBdr>
        <w:rPr>
          <w:b/>
        </w:rPr>
      </w:pPr>
      <w:r>
        <w:rPr>
          <w:b/>
        </w:rPr>
        <w:t xml:space="preserve">Prostor před vstupem </w:t>
      </w:r>
    </w:p>
    <w:p>
      <w:pPr>
        <w:pStyle w:val="normal1"/>
        <w:rPr/>
      </w:pPr>
      <w:r>
        <w:rPr/>
        <w:t xml:space="preserve">Do tohoto prostoru je navržena na treláž popínavá růže – červený kultivar, který opakovaně remontuje. Vše bude zamulčováno mulčovací kůrou, 6m2. Růže budou podsazeny trvalkou Nepeta faassenii x šantou kočičí, celkem 30 ks. </w:t>
      </w:r>
    </w:p>
    <w:p>
      <w:pPr>
        <w:pStyle w:val="normal1"/>
        <w:rPr>
          <w:b/>
        </w:rPr>
      </w:pPr>
      <w:r>
        <w:rPr>
          <w:b/>
        </w:rPr>
      </w:r>
    </w:p>
    <w:p>
      <w:pPr>
        <w:pStyle w:val="normal1"/>
        <w:rPr>
          <w:b/>
        </w:rPr>
      </w:pPr>
      <w:r>
        <w:rPr>
          <w:b/>
        </w:rPr>
        <w:t>Návrh na výsadbu rostlin:</w:t>
      </w:r>
    </w:p>
    <w:p>
      <w:pPr>
        <w:pStyle w:val="normal1"/>
        <w:spacing w:lineRule="auto" w:line="240" w:before="0" w:after="0"/>
        <w:rPr/>
      </w:pPr>
      <w:r>
        <w:rPr>
          <w:b/>
        </w:rPr>
        <w:t>Popínavá růže</w:t>
      </w:r>
      <w:r>
        <w:rPr/>
        <w:t xml:space="preserve"> – červený kultivar 3ks</w:t>
      </w:r>
    </w:p>
    <w:p>
      <w:pPr>
        <w:pStyle w:val="normal1"/>
        <w:spacing w:lineRule="auto" w:line="240" w:before="0" w:after="0"/>
        <w:rPr/>
      </w:pPr>
      <w:r>
        <w:rPr>
          <w:b/>
        </w:rPr>
        <w:t>Nepeta x faassenii</w:t>
      </w:r>
      <w:r>
        <w:rPr/>
        <w:t xml:space="preserve"> - šantou kočičí 30 ks.</w:t>
      </w:r>
    </w:p>
    <w:p>
      <w:pPr>
        <w:pStyle w:val="normal1"/>
        <w:spacing w:lineRule="auto" w:line="240" w:before="0" w:after="0"/>
        <w:rPr/>
      </w:pPr>
      <w:r>
        <w:rPr/>
      </w:r>
    </w:p>
    <w:p>
      <w:pPr>
        <w:pStyle w:val="normal1"/>
        <w:pBdr>
          <w:bottom w:val="single" w:sz="4" w:space="1" w:color="000000"/>
        </w:pBdr>
        <w:spacing w:lineRule="auto" w:line="240" w:before="0" w:after="0"/>
        <w:rPr>
          <w:b/>
        </w:rPr>
      </w:pPr>
      <w:r>
        <w:rPr>
          <w:b/>
        </w:rPr>
      </w:r>
    </w:p>
    <w:p>
      <w:pPr>
        <w:pStyle w:val="normal1"/>
        <w:pBdr>
          <w:bottom w:val="single" w:sz="4" w:space="1" w:color="000000"/>
        </w:pBdr>
        <w:spacing w:lineRule="auto" w:line="240" w:before="0" w:after="0"/>
        <w:rPr>
          <w:b/>
        </w:rPr>
      </w:pPr>
      <w:r>
        <w:rPr>
          <w:b/>
        </w:rPr>
      </w:r>
    </w:p>
    <w:p>
      <w:pPr>
        <w:pStyle w:val="normal1"/>
        <w:pBdr>
          <w:bottom w:val="single" w:sz="4" w:space="1" w:color="000000"/>
        </w:pBdr>
        <w:spacing w:lineRule="auto" w:line="240" w:before="0" w:after="0"/>
        <w:rPr>
          <w:b/>
        </w:rPr>
      </w:pPr>
      <w:r>
        <w:rPr>
          <w:b/>
        </w:rPr>
        <w:t xml:space="preserve">Prostor okolo budovy školy </w:t>
      </w:r>
    </w:p>
    <w:p>
      <w:pPr>
        <w:pStyle w:val="normal1"/>
        <w:rPr/>
      </w:pPr>
      <w:r>
        <w:rPr/>
      </w:r>
    </w:p>
    <w:p>
      <w:pPr>
        <w:pStyle w:val="normal1"/>
        <w:ind w:firstLine="708"/>
        <w:rPr/>
      </w:pPr>
      <w:r>
        <w:rPr/>
        <w:t xml:space="preserve">Prostor okolo budovy školy bude osázen jedlými rostlinami, které budou doplněny o keře a plošnou výsadbu trvalek. </w:t>
      </w:r>
    </w:p>
    <w:p>
      <w:pPr>
        <w:pStyle w:val="normal1"/>
        <w:ind w:firstLine="708"/>
        <w:rPr/>
      </w:pPr>
      <w:r>
        <w:rPr/>
        <w:t xml:space="preserve">Mezi jedlé keře, které jsou navrženy patří například </w:t>
      </w:r>
      <w:r>
        <w:rPr>
          <w:b/>
        </w:rPr>
        <w:t>Zimolez kamčatský</w:t>
      </w:r>
      <w:r>
        <w:rPr/>
        <w:t>, jedná se o nejranější ovoce, dozrává spolu s ranými jahodami. Chutí a barvou  připomíná borůvky, na rozdíl od nich ale nepotřebuje okyselovat půdu.</w:t>
      </w:r>
    </w:p>
    <w:p>
      <w:pPr>
        <w:pStyle w:val="normal1"/>
        <w:ind w:firstLine="708"/>
        <w:rPr>
          <w:b/>
        </w:rPr>
      </w:pPr>
      <w:r>
        <w:rPr/>
        <w:t xml:space="preserve">Dalším jedlým keřem, který je navržen jsou rybízy – mezi ranné červené druhy patří např. </w:t>
      </w:r>
      <w:r>
        <w:rPr>
          <w:b/>
        </w:rPr>
        <w:t>Jonkheer van Tets'</w:t>
      </w:r>
      <w:r>
        <w:rPr/>
        <w:t> a </w:t>
      </w:r>
      <w:r>
        <w:rPr>
          <w:b/>
        </w:rPr>
        <w:t>'Emir'</w:t>
      </w:r>
      <w:r>
        <w:rPr/>
        <w:t>, které dozrávají na přelomu června a července. Z černých rybízů jsou navrženy odrůdy </w:t>
      </w:r>
      <w:r>
        <w:rPr>
          <w:b/>
        </w:rPr>
        <w:t>'Noiroma'</w:t>
      </w:r>
      <w:r>
        <w:rPr/>
        <w:t>, </w:t>
      </w:r>
      <w:r>
        <w:rPr>
          <w:b/>
        </w:rPr>
        <w:t>'Fertödi'</w:t>
      </w:r>
      <w:r>
        <w:rPr/>
        <w:t xml:space="preserve"> a z bílých odrůd  </w:t>
      </w:r>
      <w:r>
        <w:rPr>
          <w:b/>
        </w:rPr>
        <w:t>Versailleský bílý.  </w:t>
      </w:r>
    </w:p>
    <w:p>
      <w:pPr>
        <w:pStyle w:val="normal1"/>
        <w:rPr/>
      </w:pPr>
      <w:r>
        <w:rPr>
          <w:b/>
        </w:rPr>
        <w:t xml:space="preserve">Aronia prunifoli ´viking ´- aronie </w:t>
      </w:r>
      <w:r>
        <w:rPr/>
        <w:t>je výborná pro sklizeň a zpracování plodů, které obsahují vysoký podíl vitamínu C.</w:t>
      </w:r>
    </w:p>
    <w:p>
      <w:pPr>
        <w:pStyle w:val="normal1"/>
        <w:rPr/>
      </w:pPr>
      <w:r>
        <w:rPr>
          <w:b/>
        </w:rPr>
        <w:t>Muchovník olšolistý (</w:t>
      </w:r>
      <w:r>
        <w:rPr>
          <w:b/>
          <w:i/>
        </w:rPr>
        <w:t>Amelanchier alnifolia ´Martin´</w:t>
      </w:r>
      <w:r>
        <w:rPr>
          <w:b/>
        </w:rPr>
        <w:t xml:space="preserve">) – </w:t>
      </w:r>
      <w:r>
        <w:rPr/>
        <w:t xml:space="preserve">tento druh je nejčastěji šlechtěn právě pro chutné plody, zraje velmi brzy, už začátkem června,  a má  vyvážený poměr sladké a kyselé složky, takže je dobře osvěžující. </w:t>
      </w:r>
    </w:p>
    <w:p>
      <w:pPr>
        <w:pStyle w:val="normal1"/>
        <w:rPr/>
      </w:pPr>
      <w:r>
        <w:rPr>
          <w:b/>
        </w:rPr>
        <w:t xml:space="preserve">Maliny </w:t>
      </w:r>
      <w:r>
        <w:rPr/>
        <w:t xml:space="preserve">remontující druh – jsou ohraničené v konstrukci, ze dřeva, pro pohodlnější sběr plodů. </w:t>
      </w:r>
    </w:p>
    <w:p>
      <w:pPr>
        <w:pStyle w:val="normal1"/>
        <w:ind w:firstLine="708"/>
        <w:jc w:val="both"/>
        <w:rPr/>
      </w:pPr>
      <w:r>
        <w:rPr/>
        <w:t xml:space="preserve">Záhon bude doplněn </w:t>
      </w:r>
      <w:r>
        <w:rPr>
          <w:b/>
        </w:rPr>
        <w:t>o kvetoucí keře, které přilákají hmyz do zahrady.</w:t>
      </w:r>
      <w:r>
        <w:rPr/>
        <w:t xml:space="preserve"> Jedná se o keře, které jsou zajímavé svým květenstvím tvarem, barvou i vůní. Kalina je bohatě kvetoucí keř, který kvete od května do černa, na první pohled připomíná bílou hortenzii. Hortenzie svými květy rozzáří zahradu školy. Na jaře rozzáří zlatice zahradu, jedná se o navržený nízký zlatý déšť kompaktního tvaru s velkým množství zářivých květů, výška rostliny je okolo 1m.  Dalším významným prvkem je ořechokřídlec, který svým vysokým obsahem nektaru přitahuje včely, vytváří harmonická společenství s trvalkami.</w:t>
      </w:r>
    </w:p>
    <w:p>
      <w:pPr>
        <w:pStyle w:val="normal1"/>
        <w:ind w:firstLine="708"/>
        <w:jc w:val="both"/>
        <w:rPr/>
      </w:pPr>
      <w:r>
        <w:rPr/>
        <w:t xml:space="preserve">Rostliny mohou být označeny cedulkami, tím se děti budou učit názvy rostlin.  </w:t>
      </w:r>
    </w:p>
    <w:p>
      <w:pPr>
        <w:pStyle w:val="normal1"/>
        <w:ind w:firstLine="708"/>
        <w:jc w:val="both"/>
        <w:rPr/>
      </w:pPr>
      <w:r>
        <w:rPr/>
        <w:t xml:space="preserve">Další část záhonu budou tvořit trvalky, které zajistí barevný a atraktivní vzhled po celé vegetační období. </w:t>
      </w:r>
    </w:p>
    <w:p>
      <w:pPr>
        <w:pStyle w:val="normal1"/>
        <w:ind w:firstLine="708"/>
        <w:jc w:val="both"/>
        <w:rPr/>
      </w:pPr>
      <w:r>
        <w:rPr/>
        <w:t xml:space="preserve">Celková plocha k osázení 76m2. Plocha k zamulčování mulčovací kůrou volně loženou plocha 76m2. </w:t>
      </w:r>
    </w:p>
    <w:p>
      <w:pPr>
        <w:pStyle w:val="normal1"/>
        <w:rPr>
          <w:b/>
        </w:rPr>
      </w:pPr>
      <w:r>
        <w:rPr>
          <w:b/>
        </w:rPr>
        <w:t>Seznam jedlých rostlin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1"/>
        </w:numPr>
        <w:pBdr/>
        <w:shd w:val="clear" w:fill="auto"/>
        <w:tabs>
          <w:tab w:val="clear" w:pos="720"/>
          <w:tab w:val="left" w:pos="142" w:leader="none"/>
        </w:tabs>
        <w:spacing w:lineRule="auto" w:line="259" w:before="0" w:after="0"/>
        <w:ind w:hanging="0" w:left="0" w:right="0"/>
        <w:jc w:val="left"/>
        <w:rPr/>
      </w:pPr>
      <w:r>
        <w:rPr>
          <w:rFonts w:eastAsia="Aptos" w:cs="Aptos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 xml:space="preserve">Amelanchier alnifolia ´Martin – muchovník 3ks </w:t>
      </w:r>
    </w:p>
    <w:p>
      <w:pPr>
        <w:pStyle w:val="normal1"/>
        <w:spacing w:lineRule="auto" w:line="240" w:before="0" w:after="0"/>
        <w:rPr/>
      </w:pPr>
      <w:r>
        <w:rPr/>
        <w:t>2 Aronia prunifoli ´viking ´- aronie 1 ks</w:t>
      </w:r>
    </w:p>
    <w:p>
      <w:pPr>
        <w:pStyle w:val="normal1"/>
        <w:spacing w:lineRule="auto" w:line="240" w:before="0" w:after="0"/>
        <w:rPr/>
      </w:pPr>
      <w:r>
        <w:rPr/>
        <w:t>3 Maliny ´ Heritage´16 ks</w:t>
      </w:r>
    </w:p>
    <w:p>
      <w:pPr>
        <w:pStyle w:val="normal1"/>
        <w:spacing w:lineRule="auto" w:line="240" w:before="0" w:after="0"/>
        <w:rPr/>
      </w:pPr>
      <w:r>
        <w:rPr/>
        <w:t>4 Rybíz červený Jonkheer van Tets' – 3 ks</w:t>
      </w:r>
    </w:p>
    <w:p>
      <w:pPr>
        <w:pStyle w:val="normal1"/>
        <w:spacing w:lineRule="auto" w:line="240" w:before="0" w:after="0"/>
        <w:rPr/>
      </w:pPr>
      <w:r>
        <w:rPr/>
        <w:t>5 Rybíz červený Emir' – 3 ks</w:t>
      </w:r>
    </w:p>
    <w:p>
      <w:pPr>
        <w:pStyle w:val="normal1"/>
        <w:spacing w:lineRule="auto" w:line="240" w:before="0" w:after="0"/>
        <w:rPr/>
      </w:pPr>
      <w:r>
        <w:rPr/>
        <w:t xml:space="preserve">6 Rybíz černý 'Noiroma', - 2 ks </w:t>
      </w:r>
    </w:p>
    <w:p>
      <w:pPr>
        <w:pStyle w:val="normal1"/>
        <w:spacing w:lineRule="auto" w:line="240" w:before="0" w:after="0"/>
        <w:rPr/>
      </w:pPr>
      <w:r>
        <w:rPr/>
        <w:t>7 Rybíz černý 'Fertödi'- 1ks</w:t>
      </w:r>
    </w:p>
    <w:p>
      <w:pPr>
        <w:pStyle w:val="normal1"/>
        <w:spacing w:lineRule="auto" w:line="240" w:before="0" w:after="0"/>
        <w:rPr/>
      </w:pPr>
      <w:r>
        <w:rPr/>
        <w:t>8 Rybíz bílý Versailleský bílý 4 ks</w:t>
      </w:r>
    </w:p>
    <w:p>
      <w:pPr>
        <w:pStyle w:val="normal1"/>
        <w:spacing w:lineRule="auto" w:line="240" w:before="0" w:after="0"/>
        <w:rPr/>
      </w:pPr>
      <w:r>
        <w:rPr/>
        <w:t>9 Zimolez kamčatský 2 ks</w:t>
      </w:r>
    </w:p>
    <w:p>
      <w:pPr>
        <w:pStyle w:val="normal1"/>
        <w:spacing w:lineRule="auto" w:line="240" w:before="0" w:after="0"/>
        <w:rPr>
          <w:b/>
        </w:rPr>
      </w:pPr>
      <w:r>
        <w:rPr>
          <w:b/>
        </w:rPr>
        <w:t xml:space="preserve">  </w:t>
      </w:r>
    </w:p>
    <w:p>
      <w:pPr>
        <w:pStyle w:val="normal1"/>
        <w:spacing w:lineRule="auto" w:line="240" w:before="0" w:after="0"/>
        <w:rPr>
          <w:b/>
        </w:rPr>
      </w:pPr>
      <w:r>
        <w:rPr>
          <w:b/>
        </w:rPr>
        <w:t xml:space="preserve">Keře </w:t>
      </w:r>
    </w:p>
    <w:p>
      <w:pPr>
        <w:pStyle w:val="normal1"/>
        <w:spacing w:lineRule="auto" w:line="240" w:before="0" w:after="0"/>
        <w:rPr/>
      </w:pPr>
      <w:r>
        <w:rPr/>
        <w:t>11 Forsythia x intermedia ´Minigold´- zlatice prostřední – 2ks</w:t>
      </w:r>
    </w:p>
    <w:p>
      <w:pPr>
        <w:pStyle w:val="normal1"/>
        <w:spacing w:lineRule="auto" w:line="240" w:before="0" w:after="0"/>
        <w:rPr/>
      </w:pPr>
      <w:r>
        <w:rPr/>
        <w:t>12 Caryopteris cland. ´Grand Bleu´ - ořechokřídlec – 16ks</w:t>
      </w:r>
    </w:p>
    <w:p>
      <w:pPr>
        <w:pStyle w:val="normal1"/>
        <w:spacing w:lineRule="auto" w:line="240" w:before="0" w:after="0"/>
        <w:rPr/>
      </w:pPr>
      <w:r>
        <w:rPr/>
        <w:t>13 Deutzia scabra – trojpuk drsný – 1 ks</w:t>
      </w:r>
    </w:p>
    <w:p>
      <w:pPr>
        <w:pStyle w:val="normal1"/>
        <w:spacing w:lineRule="auto" w:line="240" w:before="0" w:after="0"/>
        <w:rPr/>
      </w:pPr>
      <w:r>
        <w:rPr/>
        <w:t>14 Hydrangea arborescens ´Annabelle´- hortenzie stromečkovitá 5 ks</w:t>
      </w:r>
    </w:p>
    <w:p>
      <w:pPr>
        <w:pStyle w:val="normal1"/>
        <w:spacing w:lineRule="auto" w:line="240" w:before="0" w:after="0"/>
        <w:rPr/>
      </w:pPr>
      <w:r>
        <w:rPr/>
        <w:t xml:space="preserve">15 Hydrangea paniculata ´Living colourful coctail´ 7ks </w:t>
      </w:r>
    </w:p>
    <w:p>
      <w:pPr>
        <w:pStyle w:val="normal1"/>
        <w:spacing w:lineRule="auto" w:line="240" w:before="0" w:after="0"/>
        <w:rPr/>
      </w:pPr>
      <w:r>
        <w:rPr/>
        <w:t>16 Viburnum opulus ´Roseum</w:t>
      </w:r>
      <w:r>
        <w:rPr>
          <w:b/>
        </w:rPr>
        <w:t xml:space="preserve">´ </w:t>
      </w:r>
      <w:r>
        <w:rPr/>
        <w:t>5 ks</w:t>
      </w:r>
    </w:p>
    <w:p>
      <w:pPr>
        <w:pStyle w:val="normal1"/>
        <w:spacing w:lineRule="auto" w:line="240" w:before="0" w:after="0"/>
        <w:rPr>
          <w:b/>
        </w:rPr>
      </w:pPr>
      <w:r>
        <w:rPr>
          <w:b/>
        </w:rPr>
      </w:r>
    </w:p>
    <w:p>
      <w:pPr>
        <w:pStyle w:val="normal1"/>
        <w:spacing w:lineRule="auto" w:line="240" w:before="0" w:after="0"/>
        <w:rPr>
          <w:b/>
        </w:rPr>
      </w:pPr>
      <w:r>
        <w:rPr>
          <w:b/>
        </w:rPr>
        <w:t>Trvalky  - 450 ks</w:t>
      </w:r>
    </w:p>
    <w:p>
      <w:pPr>
        <w:pStyle w:val="normal1"/>
        <w:spacing w:lineRule="auto" w:line="240" w:before="0" w:after="0"/>
        <w:jc w:val="both"/>
        <w:rPr/>
      </w:pPr>
      <w:r>
        <w:rPr/>
        <w:t>Achillea 'Moonshine'</w:t>
      </w:r>
    </w:p>
    <w:p>
      <w:pPr>
        <w:pStyle w:val="normal1"/>
        <w:spacing w:lineRule="auto" w:line="240" w:before="0" w:after="0"/>
        <w:jc w:val="both"/>
        <w:rPr/>
      </w:pPr>
      <w:r>
        <w:rPr/>
        <w:t>Alchemilla erythropoda - kontryhel</w:t>
      </w:r>
    </w:p>
    <w:p>
      <w:pPr>
        <w:pStyle w:val="normal1"/>
        <w:spacing w:lineRule="auto" w:line="240" w:before="0" w:after="0"/>
        <w:jc w:val="both"/>
        <w:rPr/>
      </w:pPr>
      <w:r>
        <w:rPr/>
        <w:t xml:space="preserve">Fragaria vesca  – lesní jahody </w:t>
      </w:r>
    </w:p>
    <w:p>
      <w:pPr>
        <w:pStyle w:val="normal1"/>
        <w:spacing w:lineRule="auto" w:line="240" w:before="0" w:after="0"/>
        <w:jc w:val="both"/>
        <w:rPr/>
      </w:pPr>
      <w:r>
        <w:rPr/>
        <w:t>Echinacea angustifolia</w:t>
      </w:r>
    </w:p>
    <w:p>
      <w:pPr>
        <w:pStyle w:val="normal1"/>
        <w:spacing w:lineRule="auto" w:line="240" w:before="0" w:after="0"/>
        <w:jc w:val="both"/>
        <w:rPr/>
      </w:pPr>
      <w:r>
        <w:rPr/>
        <w:t>Hemerocalis ´Stella de oro´</w:t>
      </w:r>
    </w:p>
    <w:p>
      <w:pPr>
        <w:pStyle w:val="normal1"/>
        <w:spacing w:lineRule="auto" w:line="240" w:before="0" w:after="0"/>
        <w:jc w:val="both"/>
        <w:rPr/>
      </w:pPr>
      <w:r>
        <w:rPr/>
        <w:t>Gaura lindheimeri</w:t>
      </w:r>
    </w:p>
    <w:p>
      <w:pPr>
        <w:pStyle w:val="normal1"/>
        <w:spacing w:lineRule="auto" w:line="240" w:before="0" w:after="0"/>
        <w:jc w:val="both"/>
        <w:rPr/>
      </w:pPr>
      <w:r>
        <w:rPr/>
        <w:t>Geranium sanguineum</w:t>
      </w:r>
    </w:p>
    <w:p>
      <w:pPr>
        <w:pStyle w:val="normal1"/>
        <w:spacing w:lineRule="auto" w:line="240" w:before="0" w:after="0"/>
        <w:jc w:val="both"/>
        <w:rPr/>
      </w:pPr>
      <w:r>
        <w:rPr/>
        <w:t>Garanium x cantabrigiense ´Karamina´</w:t>
      </w:r>
    </w:p>
    <w:p>
      <w:pPr>
        <w:pStyle w:val="normal1"/>
        <w:spacing w:lineRule="auto" w:line="240" w:before="0" w:after="0"/>
        <w:jc w:val="both"/>
        <w:rPr/>
      </w:pPr>
      <w:r>
        <w:rPr/>
        <w:t xml:space="preserve">Lavandula angustifolia </w:t>
      </w:r>
    </w:p>
    <w:p>
      <w:pPr>
        <w:pStyle w:val="normal1"/>
        <w:spacing w:lineRule="auto" w:line="240" w:before="0" w:after="0"/>
        <w:jc w:val="both"/>
        <w:rPr/>
      </w:pPr>
      <w:r>
        <w:rPr/>
        <w:t xml:space="preserve">Lysimachia </w:t>
      </w:r>
    </w:p>
    <w:p>
      <w:pPr>
        <w:pStyle w:val="normal1"/>
        <w:spacing w:lineRule="auto" w:line="240" w:before="0" w:after="0"/>
        <w:rPr/>
      </w:pPr>
      <w:r>
        <w:rPr/>
        <w:t xml:space="preserve">Paeonia – pivoňka bylinná – tmavě červená </w:t>
      </w:r>
    </w:p>
    <w:p>
      <w:pPr>
        <w:pStyle w:val="normal1"/>
        <w:spacing w:lineRule="auto" w:line="240" w:before="0" w:after="0"/>
        <w:jc w:val="both"/>
        <w:rPr/>
      </w:pPr>
      <w:r>
        <w:rPr/>
        <w:t>Rudbeckia fulgida ´Goldsurm´</w:t>
      </w:r>
    </w:p>
    <w:p>
      <w:pPr>
        <w:pStyle w:val="normal1"/>
        <w:spacing w:lineRule="auto" w:line="240" w:before="0" w:after="0"/>
        <w:jc w:val="both"/>
        <w:rPr/>
      </w:pPr>
      <w:r>
        <w:rPr/>
        <w:t>Nepeta x fassenii</w:t>
      </w:r>
    </w:p>
    <w:p>
      <w:pPr>
        <w:pStyle w:val="normal1"/>
        <w:spacing w:lineRule="auto" w:line="240" w:before="0" w:after="0"/>
        <w:jc w:val="both"/>
        <w:rPr/>
      </w:pPr>
      <w:r>
        <w:rPr/>
        <w:t>Salvia nemorosa ´Caradona´</w:t>
      </w:r>
    </w:p>
    <w:p>
      <w:pPr>
        <w:pStyle w:val="normal1"/>
        <w:spacing w:lineRule="auto" w:line="240" w:before="0" w:after="0"/>
        <w:jc w:val="both"/>
        <w:rPr/>
      </w:pPr>
      <w:r>
        <w:rPr/>
        <w:t>Saturejka Montana</w:t>
      </w:r>
    </w:p>
    <w:p>
      <w:pPr>
        <w:pStyle w:val="normal1"/>
        <w:spacing w:lineRule="auto" w:line="240" w:before="0" w:after="0"/>
        <w:jc w:val="both"/>
        <w:rPr/>
      </w:pPr>
      <w:r>
        <w:rPr/>
        <w:t xml:space="preserve">Sedum telephinum </w:t>
      </w:r>
    </w:p>
    <w:p>
      <w:pPr>
        <w:pStyle w:val="normal1"/>
        <w:spacing w:lineRule="auto" w:line="240" w:before="0" w:after="0"/>
        <w:jc w:val="both"/>
        <w:rPr/>
      </w:pPr>
      <w:r>
        <w:rPr/>
        <w:t xml:space="preserve">Vinca minor </w:t>
      </w:r>
    </w:p>
    <w:p>
      <w:pPr>
        <w:pStyle w:val="normal1"/>
        <w:spacing w:lineRule="auto" w:line="240" w:before="0" w:after="0"/>
        <w:jc w:val="both"/>
        <w:rPr/>
      </w:pPr>
      <w:r>
        <w:rPr/>
      </w:r>
    </w:p>
    <w:p>
      <w:pPr>
        <w:pStyle w:val="normal1"/>
        <w:spacing w:lineRule="auto" w:line="240" w:before="0" w:after="0"/>
        <w:jc w:val="both"/>
        <w:rPr>
          <w:b/>
        </w:rPr>
      </w:pPr>
      <w:r>
        <w:rPr>
          <w:b/>
        </w:rPr>
        <w:t>Bylinky do výsadby – 30 ks</w:t>
      </w:r>
    </w:p>
    <w:p>
      <w:pPr>
        <w:pStyle w:val="normal1"/>
        <w:spacing w:lineRule="auto" w:line="240" w:before="0" w:after="0"/>
        <w:jc w:val="both"/>
        <w:rPr/>
      </w:pPr>
      <w:r>
        <w:rPr/>
        <w:t>Allium schoenoprasum – pažitka</w:t>
      </w:r>
    </w:p>
    <w:p>
      <w:pPr>
        <w:pStyle w:val="normal1"/>
        <w:spacing w:lineRule="auto" w:line="240" w:before="0" w:after="0"/>
        <w:jc w:val="both"/>
        <w:rPr/>
      </w:pPr>
      <w:r>
        <w:rPr/>
        <w:t>Fragaria vesca var. Vesca – jahodník</w:t>
      </w:r>
    </w:p>
    <w:p>
      <w:pPr>
        <w:pStyle w:val="normal1"/>
        <w:spacing w:lineRule="auto" w:line="240" w:before="0" w:after="0"/>
        <w:jc w:val="both"/>
        <w:rPr/>
      </w:pPr>
      <w:r>
        <w:rPr/>
        <w:t xml:space="preserve">Mellisa officinalis – meduňka </w:t>
      </w:r>
    </w:p>
    <w:p>
      <w:pPr>
        <w:pStyle w:val="normal1"/>
        <w:spacing w:lineRule="auto" w:line="240" w:before="0" w:after="0"/>
        <w:jc w:val="both"/>
        <w:rPr/>
      </w:pPr>
      <w:r>
        <w:rPr/>
        <w:t>Menta x piperita – máta</w:t>
      </w:r>
    </w:p>
    <w:p>
      <w:pPr>
        <w:pStyle w:val="normal1"/>
        <w:spacing w:lineRule="auto" w:line="240" w:before="0" w:after="0"/>
        <w:jc w:val="both"/>
        <w:rPr/>
      </w:pPr>
      <w:r>
        <w:rPr/>
        <w:t>Rosmarinus officinalis – rozmarýna</w:t>
      </w:r>
    </w:p>
    <w:p>
      <w:pPr>
        <w:pStyle w:val="normal1"/>
        <w:spacing w:lineRule="auto" w:line="240" w:before="0" w:after="0"/>
        <w:jc w:val="both"/>
        <w:rPr/>
      </w:pPr>
      <w:r>
        <w:rPr/>
        <w:t xml:space="preserve">Salvia officinalis – šalvěj </w:t>
      </w:r>
    </w:p>
    <w:p>
      <w:pPr>
        <w:pStyle w:val="normal1"/>
        <w:spacing w:lineRule="auto" w:line="240" w:before="0" w:after="0"/>
        <w:jc w:val="both"/>
        <w:rPr/>
      </w:pPr>
      <w:r>
        <w:rPr/>
        <w:t xml:space="preserve">Thymus vulgaris – mateřídouška </w:t>
      </w:r>
      <w:r>
        <w:br w:type="page"/>
      </w:r>
    </w:p>
    <w:p>
      <w:pPr>
        <w:pStyle w:val="normal1"/>
        <w:pBdr>
          <w:bottom w:val="single" w:sz="4" w:space="1" w:color="000000"/>
        </w:pBdr>
        <w:spacing w:lineRule="auto" w:line="240" w:before="0" w:after="0"/>
        <w:jc w:val="both"/>
        <w:rPr>
          <w:b/>
        </w:rPr>
      </w:pPr>
      <w:r>
        <w:rPr>
          <w:b/>
        </w:rPr>
        <w:t xml:space="preserve">Následná péče </w:t>
      </w:r>
    </w:p>
    <w:p>
      <w:pPr>
        <w:pStyle w:val="normal1"/>
        <w:spacing w:lineRule="auto" w:line="240" w:before="0" w:after="0"/>
        <w:jc w:val="both"/>
        <w:rPr/>
      </w:pPr>
      <w:r>
        <w:rPr/>
      </w:r>
    </w:p>
    <w:p>
      <w:pPr>
        <w:pStyle w:val="normal1"/>
        <w:spacing w:lineRule="auto" w:line="240" w:before="0" w:after="0"/>
        <w:jc w:val="both"/>
        <w:rPr/>
      </w:pPr>
      <w:r>
        <w:rPr/>
        <w:t xml:space="preserve">Pro zdárný růst rostlin je důležitá následná rozvojová péče o rostliny alespoň dva roky po založení spočívající především v pravidelné zálivce, hnojení.  Dále je nezbytné provádět odborný řez, odplevelování výsadeb, pravidelné odstraňování odkvetlých částí trvalek. Údržbu a odplevelení musí provádět kvalifikovaní a proškolený personál, lépe je provádět zásahy drobné, ale častěji. </w:t>
      </w:r>
    </w:p>
    <w:p>
      <w:pPr>
        <w:pStyle w:val="normal1"/>
        <w:spacing w:lineRule="auto" w:line="240" w:before="0" w:after="0"/>
        <w:jc w:val="both"/>
        <w:rPr/>
      </w:pPr>
      <w:r>
        <w:rPr/>
      </w:r>
    </w:p>
    <w:p>
      <w:pPr>
        <w:pStyle w:val="normal1"/>
        <w:spacing w:lineRule="auto" w:line="240" w:before="0" w:after="0"/>
        <w:rPr/>
      </w:pPr>
      <w:r>
        <w:rPr/>
      </w:r>
    </w:p>
    <w:p>
      <w:pPr>
        <w:pStyle w:val="normal1"/>
        <w:spacing w:lineRule="auto" w:line="240" w:before="0" w:after="0"/>
        <w:rPr>
          <w:b/>
        </w:rPr>
      </w:pPr>
      <w:r>
        <w:rPr>
          <w:b/>
        </w:rPr>
      </w:r>
    </w:p>
    <w:p>
      <w:pPr>
        <w:pStyle w:val="normal1"/>
        <w:spacing w:lineRule="auto" w:line="240" w:before="0" w:after="0"/>
        <w:rPr/>
      </w:pPr>
      <w:r>
        <w:rPr/>
        <w:t xml:space="preserve"> </w:t>
      </w:r>
    </w:p>
    <w:sectPr>
      <w:type w:val="nextPage"/>
      <w:pgSz w:w="11906" w:h="16838"/>
      <w:pgMar w:left="1417" w:right="1417" w:gutter="0" w:header="0" w:top="1417" w:footer="0" w:bottom="1417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ptos">
    <w:charset w:val="ee"/>
    <w:family w:val="roman"/>
    <w:pitch w:val="variable"/>
  </w:font>
  <w:font w:name="Play">
    <w:charset w:val="ee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ee"/>
    <w:family w:val="swiss"/>
    <w:pitch w:val="variable"/>
  </w:font>
  <w:font w:name="Source Sans Pro">
    <w:charset w:val="ee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5"/>
  <w:defaultTabStop w:val="720"/>
  <w:autoHyphenation w:val="true"/>
  <w:hyphenationZone w:val="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Aptos"/>
        <w:sz w:val="22"/>
        <w:szCs w:val="22"/>
        <w:lang w:val="cs-CZ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lineRule="auto" w:line="259" w:before="0" w:after="160"/>
      <w:jc w:val="left"/>
    </w:pPr>
    <w:rPr>
      <w:rFonts w:ascii="Aptos" w:hAnsi="Aptos" w:eastAsia="Aptos" w:cs="Aptos"/>
      <w:color w:val="auto"/>
      <w:kern w:val="0"/>
      <w:sz w:val="22"/>
      <w:szCs w:val="22"/>
      <w:lang w:val="cs-CZ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spacing w:lineRule="auto" w:line="240" w:before="360" w:after="80"/>
    </w:pPr>
    <w:rPr>
      <w:rFonts w:ascii="Play" w:hAnsi="Play" w:eastAsia="Play" w:cs="Play"/>
      <w:color w:val="0F4761"/>
      <w:sz w:val="40"/>
      <w:szCs w:val="40"/>
    </w:rPr>
  </w:style>
  <w:style w:type="paragraph" w:styleId="Heading2">
    <w:name w:val="heading 2"/>
    <w:basedOn w:val="normal1"/>
    <w:next w:val="normal1"/>
    <w:qFormat/>
    <w:pPr>
      <w:keepNext w:val="true"/>
      <w:keepLines/>
      <w:spacing w:lineRule="auto" w:line="240" w:before="160" w:after="80"/>
    </w:pPr>
    <w:rPr>
      <w:rFonts w:ascii="Play" w:hAnsi="Play" w:eastAsia="Play" w:cs="Play"/>
      <w:color w:val="0F4761"/>
      <w:sz w:val="32"/>
      <w:szCs w:val="32"/>
    </w:rPr>
  </w:style>
  <w:style w:type="paragraph" w:styleId="Heading3">
    <w:name w:val="heading 3"/>
    <w:basedOn w:val="normal1"/>
    <w:next w:val="normal1"/>
    <w:qFormat/>
    <w:pPr>
      <w:keepNext w:val="true"/>
      <w:keepLines/>
      <w:spacing w:lineRule="auto" w:line="240" w:before="160" w:after="80"/>
    </w:pPr>
    <w:rPr>
      <w:color w:val="0F4761"/>
      <w:sz w:val="28"/>
      <w:szCs w:val="28"/>
    </w:rPr>
  </w:style>
  <w:style w:type="paragraph" w:styleId="Heading4">
    <w:name w:val="heading 4"/>
    <w:basedOn w:val="normal1"/>
    <w:next w:val="normal1"/>
    <w:qFormat/>
    <w:pPr>
      <w:keepNext w:val="true"/>
      <w:keepLines/>
      <w:spacing w:lineRule="auto" w:line="240" w:before="80" w:after="40"/>
    </w:pPr>
    <w:rPr>
      <w:i/>
      <w:color w:val="0F4761"/>
    </w:rPr>
  </w:style>
  <w:style w:type="paragraph" w:styleId="Heading5">
    <w:name w:val="heading 5"/>
    <w:basedOn w:val="normal1"/>
    <w:next w:val="normal1"/>
    <w:qFormat/>
    <w:pPr>
      <w:keepNext w:val="true"/>
      <w:keepLines/>
      <w:spacing w:lineRule="auto" w:line="240" w:before="80" w:after="40"/>
    </w:pPr>
    <w:rPr>
      <w:color w:val="0F4761"/>
    </w:rPr>
  </w:style>
  <w:style w:type="paragraph" w:styleId="Heading6">
    <w:name w:val="heading 6"/>
    <w:basedOn w:val="normal1"/>
    <w:next w:val="normal1"/>
    <w:qFormat/>
    <w:pPr>
      <w:keepNext w:val="true"/>
      <w:keepLines/>
      <w:spacing w:lineRule="auto" w:line="240" w:before="40" w:after="0"/>
    </w:pPr>
    <w:rPr>
      <w:i/>
      <w:color w:val="595959"/>
    </w:rPr>
  </w:style>
  <w:style w:type="character" w:styleId="Odrky">
    <w:name w:val="Odrážky"/>
    <w:qFormat/>
    <w:rPr>
      <w:rFonts w:ascii="OpenSymbol" w:hAnsi="OpenSymbol" w:eastAsia="OpenSymbol" w:cs="OpenSymbol"/>
    </w:rPr>
  </w:style>
  <w:style w:type="paragraph" w:styleId="Nadpis">
    <w:name w:val="Nadpis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Arial"/>
    </w:rPr>
  </w:style>
  <w:style w:type="paragraph" w:styleId="normal1" w:default="1">
    <w:name w:val="normal1"/>
    <w:qFormat/>
    <w:pPr>
      <w:widowControl/>
      <w:bidi w:val="0"/>
      <w:spacing w:lineRule="auto" w:line="259" w:before="0" w:after="160"/>
      <w:jc w:val="left"/>
    </w:pPr>
    <w:rPr>
      <w:rFonts w:ascii="Aptos" w:hAnsi="Aptos" w:eastAsia="Aptos" w:cs="Aptos"/>
      <w:color w:val="auto"/>
      <w:kern w:val="0"/>
      <w:sz w:val="22"/>
      <w:szCs w:val="22"/>
      <w:lang w:val="cs-CZ" w:eastAsia="zh-CN" w:bidi="hi-IN"/>
    </w:rPr>
  </w:style>
  <w:style w:type="paragraph" w:styleId="Title">
    <w:name w:val="Title"/>
    <w:basedOn w:val="normal1"/>
    <w:next w:val="normal1"/>
    <w:qFormat/>
    <w:pPr>
      <w:spacing w:lineRule="auto" w:line="240" w:before="0" w:after="80"/>
    </w:pPr>
    <w:rPr>
      <w:rFonts w:ascii="Play" w:hAnsi="Play" w:eastAsia="Play" w:cs="Play"/>
      <w:sz w:val="56"/>
      <w:szCs w:val="56"/>
    </w:rPr>
  </w:style>
  <w:style w:type="paragraph" w:styleId="Subtitle">
    <w:name w:val="Subtitle"/>
    <w:basedOn w:val="normal1"/>
    <w:next w:val="normal1"/>
    <w:qFormat/>
    <w:pPr/>
    <w:rPr>
      <w:color w:val="595959"/>
      <w:sz w:val="28"/>
      <w:szCs w:val="28"/>
    </w:r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177</TotalTime>
  <Application>LibreOffice/25.2.6.2$Windows_X86_64 LibreOffice_project/729c5bfe710f5eb71ed3bbde9e06a6065e9c6c5d</Application>
  <AppVersion>15.0000</AppVersion>
  <Pages>5</Pages>
  <Words>809</Words>
  <Characters>4840</Characters>
  <CharactersWithSpaces>5629</CharactersWithSpaces>
  <Paragraphs>102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cs-CZ</dc:language>
  <cp:lastModifiedBy/>
  <cp:lastPrinted>2025-11-14T09:26:14Z</cp:lastPrinted>
  <dcterms:modified xsi:type="dcterms:W3CDTF">2025-11-14T12:19:36Z</dcterms:modified>
  <cp:revision>2</cp:revision>
  <dc:subject/>
  <dc:title/>
</cp:coreProperties>
</file>